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C41" w:rsidRDefault="00E93C41">
      <w:pPr>
        <w:widowControl w:val="0"/>
        <w:pBdr>
          <w:top w:val="nil"/>
          <w:left w:val="nil"/>
          <w:bottom w:val="nil"/>
          <w:right w:val="nil"/>
          <w:between w:val="nil"/>
        </w:pBdr>
        <w:spacing w:after="0"/>
        <w:ind w:left="141"/>
        <w:rPr>
          <w:rFonts w:ascii="Arial" w:eastAsia="Arial" w:hAnsi="Arial" w:cs="Arial"/>
        </w:rPr>
      </w:pPr>
      <w:bookmarkStart w:id="0" w:name="_GoBack"/>
      <w:bookmarkEnd w:id="0"/>
    </w:p>
    <w:tbl>
      <w:tblPr>
        <w:tblStyle w:val="a5"/>
        <w:tblW w:w="10640" w:type="dxa"/>
        <w:tblInd w:w="0" w:type="dxa"/>
        <w:tblLayout w:type="fixed"/>
        <w:tblLook w:val="0000" w:firstRow="0" w:lastRow="0" w:firstColumn="0" w:lastColumn="0" w:noHBand="0" w:noVBand="0"/>
      </w:tblPr>
      <w:tblGrid>
        <w:gridCol w:w="10206"/>
        <w:gridCol w:w="434"/>
      </w:tblGrid>
      <w:tr w:rsidR="00FD7D8C" w:rsidTr="00FD7D8C">
        <w:trPr>
          <w:trHeight w:val="1260"/>
        </w:trPr>
        <w:tc>
          <w:tcPr>
            <w:tcW w:w="10206" w:type="dxa"/>
          </w:tcPr>
          <w:p w:rsidR="00FD7D8C" w:rsidRDefault="00FD7D8C" w:rsidP="00FD7D8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 2</w:t>
            </w:r>
          </w:p>
          <w:p w:rsidR="00FD7D8C" w:rsidRDefault="00FD7D8C" w:rsidP="00FD7D8C">
            <w:pPr>
              <w:spacing w:after="0" w:line="240" w:lineRule="auto"/>
              <w:ind w:left="141"/>
              <w:jc w:val="center"/>
              <w:rPr>
                <w:rFonts w:ascii="Times New Roman" w:eastAsia="Times New Roman" w:hAnsi="Times New Roman" w:cs="Times New Roman"/>
                <w:b/>
                <w:sz w:val="24"/>
                <w:szCs w:val="24"/>
              </w:rPr>
            </w:pPr>
          </w:p>
          <w:p w:rsidR="00FD7D8C" w:rsidRDefault="00FD7D8C" w:rsidP="00FD7D8C">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Засідання Робочої групи з формування стратегій</w:t>
            </w:r>
          </w:p>
          <w:p w:rsidR="00FD7D8C" w:rsidRDefault="00FD7D8C" w:rsidP="00FD7D8C">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розвитку міжнародної торгівлі та аналізу їх реалізації</w:t>
            </w:r>
          </w:p>
          <w:p w:rsidR="00FD7D8C" w:rsidRPr="00FD7D8C" w:rsidRDefault="00FD7D8C" w:rsidP="00FD7D8C">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Ради з міжнародної торгівлі</w:t>
            </w:r>
          </w:p>
          <w:p w:rsidR="00FD7D8C" w:rsidRDefault="00FD7D8C">
            <w:pPr>
              <w:spacing w:after="0" w:line="240" w:lineRule="auto"/>
              <w:ind w:left="141"/>
              <w:jc w:val="both"/>
              <w:rPr>
                <w:rFonts w:ascii="Times New Roman" w:eastAsia="Times New Roman" w:hAnsi="Times New Roman" w:cs="Times New Roman"/>
                <w:i/>
                <w:sz w:val="24"/>
                <w:szCs w:val="24"/>
              </w:rPr>
            </w:pPr>
          </w:p>
          <w:p w:rsidR="00E93C41" w:rsidRDefault="00CC714A" w:rsidP="00FD7D8C">
            <w:pPr>
              <w:spacing w:after="0" w:line="240" w:lineRule="auto"/>
              <w:ind w:left="141"/>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Дата:19 жовтня 2018 р., 15:00-17:30</w:t>
            </w:r>
          </w:p>
          <w:p w:rsidR="00E93C41" w:rsidRDefault="00CC714A" w:rsidP="00FD7D8C">
            <w:pPr>
              <w:spacing w:after="0" w:line="240" w:lineRule="auto"/>
              <w:ind w:left="141"/>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Місце: Торгово-промислова палата України</w:t>
            </w:r>
          </w:p>
          <w:p w:rsidR="00E93C41" w:rsidRDefault="00CC714A" w:rsidP="00FD7D8C">
            <w:pPr>
              <w:spacing w:after="0" w:line="240" w:lineRule="auto"/>
              <w:ind w:left="141"/>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вул. Велика Житомирська, 33, кім. 401</w:t>
            </w:r>
          </w:p>
        </w:tc>
        <w:tc>
          <w:tcPr>
            <w:tcW w:w="434" w:type="dxa"/>
          </w:tcPr>
          <w:p w:rsidR="00E93C41" w:rsidRDefault="00E93C41">
            <w:pPr>
              <w:spacing w:after="0" w:line="240" w:lineRule="auto"/>
              <w:ind w:left="141"/>
              <w:rPr>
                <w:rFonts w:ascii="Times New Roman" w:eastAsia="Times New Roman" w:hAnsi="Times New Roman" w:cs="Times New Roman"/>
                <w:sz w:val="24"/>
                <w:szCs w:val="24"/>
              </w:rPr>
            </w:pPr>
          </w:p>
        </w:tc>
      </w:tr>
      <w:tr w:rsidR="00FD7D8C" w:rsidTr="00FD7D8C">
        <w:trPr>
          <w:trHeight w:val="640"/>
        </w:trPr>
        <w:tc>
          <w:tcPr>
            <w:tcW w:w="10206" w:type="dxa"/>
          </w:tcPr>
          <w:p w:rsidR="00E93C41" w:rsidRDefault="00E93C41">
            <w:pPr>
              <w:spacing w:after="0" w:line="240" w:lineRule="auto"/>
              <w:ind w:left="141"/>
              <w:rPr>
                <w:rFonts w:ascii="Times New Roman" w:eastAsia="Times New Roman" w:hAnsi="Times New Roman" w:cs="Times New Roman"/>
                <w:b/>
                <w:sz w:val="24"/>
                <w:szCs w:val="24"/>
              </w:rPr>
            </w:pPr>
          </w:p>
          <w:p w:rsidR="00E93C41" w:rsidRDefault="00CC714A">
            <w:pPr>
              <w:spacing w:after="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реєстрації засідання Робочої групи:</w:t>
            </w:r>
            <w:r>
              <w:rPr>
                <w:rFonts w:ascii="Times New Roman" w:eastAsia="Times New Roman" w:hAnsi="Times New Roman" w:cs="Times New Roman"/>
                <w:sz w:val="24"/>
                <w:szCs w:val="24"/>
              </w:rPr>
              <w:t xml:space="preserve"> Додаток 1</w:t>
            </w:r>
          </w:p>
        </w:tc>
        <w:tc>
          <w:tcPr>
            <w:tcW w:w="434" w:type="dxa"/>
          </w:tcPr>
          <w:p w:rsidR="00E93C41" w:rsidRDefault="00E93C41">
            <w:pPr>
              <w:spacing w:after="0" w:line="240" w:lineRule="auto"/>
              <w:ind w:left="141"/>
              <w:rPr>
                <w:rFonts w:ascii="Times New Roman" w:eastAsia="Times New Roman" w:hAnsi="Times New Roman" w:cs="Times New Roman"/>
                <w:b/>
                <w:sz w:val="24"/>
                <w:szCs w:val="24"/>
              </w:rPr>
            </w:pPr>
          </w:p>
        </w:tc>
      </w:tr>
      <w:tr w:rsidR="00FD7D8C" w:rsidTr="00FD7D8C">
        <w:tc>
          <w:tcPr>
            <w:tcW w:w="10206" w:type="dxa"/>
          </w:tcPr>
          <w:p w:rsidR="00E93C41" w:rsidRDefault="00E93C41">
            <w:pPr>
              <w:pStyle w:val="2"/>
              <w:shd w:val="clear" w:color="auto" w:fill="FEFEFE"/>
              <w:spacing w:before="0" w:after="0"/>
              <w:ind w:left="141"/>
              <w:jc w:val="both"/>
              <w:rPr>
                <w:b w:val="0"/>
                <w:sz w:val="24"/>
                <w:szCs w:val="24"/>
                <w:shd w:val="clear" w:color="auto" w:fill="FEFEFE"/>
              </w:rPr>
            </w:pPr>
          </w:p>
          <w:p w:rsidR="00E93C41" w:rsidRDefault="00CC714A">
            <w:pPr>
              <w:pStyle w:val="2"/>
              <w:shd w:val="clear" w:color="auto" w:fill="FEFEFE"/>
              <w:spacing w:before="0" w:after="0"/>
              <w:ind w:left="141"/>
              <w:jc w:val="both"/>
              <w:rPr>
                <w:b w:val="0"/>
                <w:sz w:val="24"/>
                <w:szCs w:val="24"/>
                <w:shd w:val="clear" w:color="auto" w:fill="FEFEFE"/>
              </w:rPr>
            </w:pPr>
            <w:r>
              <w:rPr>
                <w:b w:val="0"/>
                <w:sz w:val="24"/>
                <w:szCs w:val="24"/>
                <w:shd w:val="clear" w:color="auto" w:fill="FEFEFE"/>
              </w:rPr>
              <w:t>ПОРЯДОК ДЕННИЙ</w:t>
            </w:r>
          </w:p>
          <w:p w:rsidR="00E93C41" w:rsidRDefault="00E93C41">
            <w:pPr>
              <w:pStyle w:val="2"/>
              <w:shd w:val="clear" w:color="auto" w:fill="FEFEFE"/>
              <w:spacing w:before="0" w:after="0"/>
              <w:ind w:left="141"/>
              <w:jc w:val="both"/>
              <w:rPr>
                <w:b w:val="0"/>
                <w:sz w:val="24"/>
                <w:szCs w:val="24"/>
                <w:shd w:val="clear" w:color="auto" w:fill="FEFEFE"/>
              </w:rPr>
            </w:pPr>
          </w:p>
          <w:p w:rsidR="00E93C41" w:rsidRDefault="00CC714A">
            <w:pPr>
              <w:pStyle w:val="2"/>
              <w:numPr>
                <w:ilvl w:val="0"/>
                <w:numId w:val="1"/>
              </w:numPr>
              <w:shd w:val="clear" w:color="auto" w:fill="FEFEFE"/>
              <w:spacing w:before="0" w:after="0"/>
              <w:ind w:left="141" w:firstLine="0"/>
              <w:jc w:val="both"/>
              <w:rPr>
                <w:b w:val="0"/>
                <w:sz w:val="24"/>
                <w:szCs w:val="24"/>
                <w:shd w:val="clear" w:color="auto" w:fill="FEFEFE"/>
              </w:rPr>
            </w:pPr>
            <w:r>
              <w:rPr>
                <w:b w:val="0"/>
                <w:sz w:val="24"/>
                <w:szCs w:val="24"/>
                <w:shd w:val="clear" w:color="auto" w:fill="FEFEFE"/>
              </w:rPr>
              <w:t>Представлення виконання Дорожньої карти Експортної стратегії України.</w:t>
            </w:r>
          </w:p>
          <w:p w:rsidR="00E93C41" w:rsidRDefault="00CC714A">
            <w:pPr>
              <w:pStyle w:val="2"/>
              <w:numPr>
                <w:ilvl w:val="0"/>
                <w:numId w:val="1"/>
              </w:numPr>
              <w:shd w:val="clear" w:color="auto" w:fill="FEFEFE"/>
              <w:spacing w:before="0" w:after="0"/>
              <w:ind w:left="141" w:firstLine="0"/>
              <w:jc w:val="both"/>
              <w:rPr>
                <w:b w:val="0"/>
                <w:sz w:val="24"/>
                <w:szCs w:val="24"/>
                <w:shd w:val="clear" w:color="auto" w:fill="FEFEFE"/>
              </w:rPr>
            </w:pPr>
            <w:r>
              <w:rPr>
                <w:b w:val="0"/>
                <w:sz w:val="24"/>
                <w:szCs w:val="24"/>
                <w:shd w:val="clear" w:color="auto" w:fill="FEFEFE"/>
              </w:rPr>
              <w:t>Представлення розробки 9 секторальних та крос-секторальних експортних стратегій.</w:t>
            </w:r>
          </w:p>
          <w:p w:rsidR="00E93C41" w:rsidRDefault="00CC714A">
            <w:pPr>
              <w:numPr>
                <w:ilvl w:val="0"/>
                <w:numId w:val="1"/>
              </w:numPr>
              <w:pBdr>
                <w:top w:val="nil"/>
                <w:left w:val="nil"/>
                <w:bottom w:val="nil"/>
                <w:right w:val="nil"/>
                <w:between w:val="nil"/>
              </w:pBdr>
              <w:spacing w:after="0" w:line="288" w:lineRule="auto"/>
              <w:ind w:left="141" w:firstLine="0"/>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Презентація розробки експортної стратегії з інформаційно-комунікаційних технологій.</w:t>
            </w:r>
          </w:p>
          <w:p w:rsidR="00E93C41" w:rsidRDefault="00CC714A">
            <w:pPr>
              <w:numPr>
                <w:ilvl w:val="0"/>
                <w:numId w:val="1"/>
              </w:numPr>
              <w:pBdr>
                <w:top w:val="nil"/>
                <w:left w:val="nil"/>
                <w:bottom w:val="nil"/>
                <w:right w:val="nil"/>
                <w:between w:val="nil"/>
              </w:pBdr>
              <w:spacing w:after="0" w:line="288" w:lineRule="auto"/>
              <w:ind w:left="141" w:firstLine="0"/>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Презентація розробки експортної стратегії з технічного обслуговування та ремонту повітряних суден.</w:t>
            </w:r>
          </w:p>
          <w:p w:rsidR="00E93C41" w:rsidRDefault="00CC714A">
            <w:pPr>
              <w:numPr>
                <w:ilvl w:val="0"/>
                <w:numId w:val="1"/>
              </w:numPr>
              <w:pBdr>
                <w:top w:val="nil"/>
                <w:left w:val="nil"/>
                <w:bottom w:val="nil"/>
                <w:right w:val="nil"/>
                <w:between w:val="nil"/>
              </w:pBdr>
              <w:spacing w:after="0" w:line="288" w:lineRule="auto"/>
              <w:ind w:left="141" w:firstLine="0"/>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Різне.</w:t>
            </w:r>
          </w:p>
          <w:p w:rsidR="00E93C41" w:rsidRDefault="00E93C41">
            <w:pPr>
              <w:pStyle w:val="2"/>
              <w:shd w:val="clear" w:color="auto" w:fill="FEFEFE"/>
              <w:spacing w:before="0" w:after="0"/>
              <w:ind w:left="141"/>
              <w:jc w:val="both"/>
              <w:rPr>
                <w:b w:val="0"/>
                <w:sz w:val="24"/>
                <w:szCs w:val="24"/>
                <w:shd w:val="clear" w:color="auto" w:fill="FEFEFE"/>
              </w:rPr>
            </w:pPr>
          </w:p>
        </w:tc>
        <w:tc>
          <w:tcPr>
            <w:tcW w:w="434" w:type="dxa"/>
          </w:tcPr>
          <w:p w:rsidR="00E93C41" w:rsidRDefault="00E93C41">
            <w:pPr>
              <w:pStyle w:val="2"/>
              <w:shd w:val="clear" w:color="auto" w:fill="FEFEFE"/>
              <w:spacing w:before="0" w:after="0"/>
              <w:ind w:left="141"/>
              <w:jc w:val="both"/>
              <w:rPr>
                <w:b w:val="0"/>
                <w:sz w:val="24"/>
                <w:szCs w:val="24"/>
                <w:shd w:val="clear" w:color="auto" w:fill="FEFEFE"/>
              </w:rPr>
            </w:pPr>
          </w:p>
        </w:tc>
      </w:tr>
      <w:tr w:rsidR="00FD7D8C" w:rsidTr="00FD7D8C">
        <w:tc>
          <w:tcPr>
            <w:tcW w:w="10206" w:type="dxa"/>
          </w:tcPr>
          <w:p w:rsidR="00E93C41" w:rsidRDefault="00CC714A">
            <w:pPr>
              <w:spacing w:after="0" w:line="240" w:lineRule="auto"/>
              <w:ind w:lef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 зв’язку з тим, що на Засіданні Робочої групи відсутній кворум для прийняття рішень – засідання проводиться без прийняття рішень в інформаційному </w:t>
            </w:r>
            <w:r>
              <w:rPr>
                <w:rFonts w:ascii="Times New Roman" w:eastAsia="Times New Roman" w:hAnsi="Times New Roman" w:cs="Times New Roman"/>
                <w:b/>
                <w:sz w:val="24"/>
                <w:szCs w:val="24"/>
              </w:rPr>
              <w:t>режимі.</w:t>
            </w:r>
          </w:p>
          <w:p w:rsidR="00E93C41" w:rsidRDefault="00E93C41">
            <w:pPr>
              <w:spacing w:after="0" w:line="240" w:lineRule="auto"/>
              <w:ind w:left="141"/>
              <w:jc w:val="both"/>
              <w:rPr>
                <w:rFonts w:ascii="Times New Roman" w:eastAsia="Times New Roman" w:hAnsi="Times New Roman" w:cs="Times New Roman"/>
                <w:b/>
                <w:sz w:val="24"/>
                <w:szCs w:val="24"/>
              </w:rPr>
            </w:pPr>
          </w:p>
          <w:p w:rsidR="00E93C41" w:rsidRDefault="00CC714A">
            <w:pPr>
              <w:pStyle w:val="2"/>
              <w:numPr>
                <w:ilvl w:val="0"/>
                <w:numId w:val="2"/>
              </w:numPr>
              <w:shd w:val="clear" w:color="auto" w:fill="FEFEFE"/>
              <w:spacing w:before="0" w:after="0"/>
              <w:ind w:left="141" w:firstLine="0"/>
              <w:jc w:val="both"/>
              <w:rPr>
                <w:sz w:val="24"/>
                <w:szCs w:val="24"/>
                <w:shd w:val="clear" w:color="auto" w:fill="FEFEFE"/>
              </w:rPr>
            </w:pPr>
            <w:r>
              <w:rPr>
                <w:sz w:val="24"/>
                <w:szCs w:val="24"/>
                <w:shd w:val="clear" w:color="auto" w:fill="FEFEFE"/>
              </w:rPr>
              <w:t>Представлення виконання Експортної стратегії України.</w:t>
            </w:r>
          </w:p>
          <w:p w:rsidR="00E93C41" w:rsidRDefault="00E93C41">
            <w:pPr>
              <w:pStyle w:val="2"/>
              <w:shd w:val="clear" w:color="auto" w:fill="FEFEFE"/>
              <w:spacing w:before="0" w:after="0"/>
              <w:ind w:left="141"/>
              <w:jc w:val="both"/>
              <w:rPr>
                <w:b w:val="0"/>
                <w:sz w:val="24"/>
                <w:szCs w:val="24"/>
                <w:shd w:val="clear" w:color="auto" w:fill="FEFEFE"/>
              </w:rPr>
            </w:pPr>
          </w:p>
          <w:p w:rsidR="00E93C41" w:rsidRDefault="00CC714A">
            <w:pPr>
              <w:shd w:val="clear" w:color="auto" w:fill="FFFFFF"/>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EFE"/>
              </w:rPr>
              <w:t>Представлення виконання Експортної стратегії України було зроблено</w:t>
            </w:r>
            <w:r>
              <w:rPr>
                <w:rFonts w:ascii="Times New Roman" w:eastAsia="Times New Roman" w:hAnsi="Times New Roman" w:cs="Times New Roman"/>
                <w:sz w:val="24"/>
                <w:szCs w:val="24"/>
              </w:rPr>
              <w:t xml:space="preserve"> начальником відділу державної політики експорту Департаменту розвитку експорту Міністерства економічного розвитку і торгівлі України Ольгою Калєндер. Зокрема під час представлення нею було наголошено, що Експортна стратегія України включає в себе 62 заход</w:t>
            </w:r>
            <w:r>
              <w:rPr>
                <w:rFonts w:ascii="Times New Roman" w:eastAsia="Times New Roman" w:hAnsi="Times New Roman" w:cs="Times New Roman"/>
                <w:sz w:val="24"/>
                <w:szCs w:val="24"/>
              </w:rPr>
              <w:t>и, які містять 121 завдання з яких 81 завдання потрібно виконати, або розпочати виконання до кінця 2018 р. Також, було наголошено, що на жаль станом на сьогодні не розробляється проект стратегії інноваційного розвитку, потребують додаткових заходів питання</w:t>
            </w:r>
            <w:r>
              <w:rPr>
                <w:rFonts w:ascii="Times New Roman" w:eastAsia="Times New Roman" w:hAnsi="Times New Roman" w:cs="Times New Roman"/>
                <w:sz w:val="24"/>
                <w:szCs w:val="24"/>
              </w:rPr>
              <w:t xml:space="preserve"> інтелектуальної власності, відсутній національний план доступу до широкосмугового доступу до інтернету, відсутні виконавці щодо просування експортного бренду України, відсутня інформація щодо програми «Шовковий шлях», не було закладено у державному бюджет</w:t>
            </w:r>
            <w:r>
              <w:rPr>
                <w:rFonts w:ascii="Times New Roman" w:eastAsia="Times New Roman" w:hAnsi="Times New Roman" w:cs="Times New Roman"/>
                <w:sz w:val="24"/>
                <w:szCs w:val="24"/>
              </w:rPr>
              <w:t>і на 2018 р. коштів щодо аналізу діючих угод про зону вільної торгівлі та угод, які плануються укладатись на предмет доцільності та ефективності, відсутні будь-які проекти щодо створення експортного веб-порталу.</w:t>
            </w:r>
          </w:p>
          <w:p w:rsidR="00E93C41" w:rsidRDefault="00CC714A">
            <w:pPr>
              <w:shd w:val="clear" w:color="auto" w:fill="FFFFFF"/>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Учасники засідання домовились опрацювати пит</w:t>
            </w:r>
            <w:r>
              <w:rPr>
                <w:rFonts w:ascii="Times New Roman" w:eastAsia="Times New Roman" w:hAnsi="Times New Roman" w:cs="Times New Roman"/>
                <w:sz w:val="24"/>
                <w:szCs w:val="24"/>
              </w:rPr>
              <w:t>ання фінансування необхідних заходів передбачених Експортною стратегією України з державного бюджету у наступному році, а також здійснити бюджетні запити для фінансування заходів з державного бюджету у 2020 р. Крім цього у разі відсутності коштів державног</w:t>
            </w:r>
            <w:r>
              <w:rPr>
                <w:rFonts w:ascii="Times New Roman" w:eastAsia="Times New Roman" w:hAnsi="Times New Roman" w:cs="Times New Roman"/>
                <w:sz w:val="24"/>
                <w:szCs w:val="24"/>
              </w:rPr>
              <w:t>о бюджету проаналізувати можливості для використання коштів технічної допомоги. Крім цього визнали з необхідність направлення запитів до Офісу з просування експорту для отримання інформації про стан розробки експортного веб-порталу.</w:t>
            </w:r>
          </w:p>
          <w:p w:rsidR="00E93C41" w:rsidRDefault="00CC714A">
            <w:pPr>
              <w:numPr>
                <w:ilvl w:val="0"/>
                <w:numId w:val="2"/>
              </w:numPr>
              <w:pBdr>
                <w:top w:val="nil"/>
                <w:left w:val="nil"/>
                <w:bottom w:val="nil"/>
                <w:right w:val="nil"/>
                <w:between w:val="nil"/>
              </w:pBdr>
              <w:shd w:val="clear" w:color="auto" w:fill="FFFFFF"/>
              <w:ind w:left="141"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FEFEFE"/>
              </w:rPr>
              <w:t>Розробка 9 секторальних</w:t>
            </w:r>
            <w:r>
              <w:rPr>
                <w:rFonts w:ascii="Times New Roman" w:eastAsia="Times New Roman" w:hAnsi="Times New Roman" w:cs="Times New Roman"/>
                <w:b/>
                <w:sz w:val="24"/>
                <w:szCs w:val="24"/>
                <w:shd w:val="clear" w:color="auto" w:fill="FEFEFE"/>
              </w:rPr>
              <w:t xml:space="preserve"> та крос-секторальних експортних стратегій.</w:t>
            </w:r>
          </w:p>
          <w:p w:rsidR="00E93C41" w:rsidRDefault="00CC714A">
            <w:pPr>
              <w:pBdr>
                <w:top w:val="nil"/>
                <w:left w:val="nil"/>
                <w:bottom w:val="nil"/>
                <w:right w:val="nil"/>
                <w:between w:val="nil"/>
              </w:pBdr>
              <w:shd w:val="clear" w:color="auto" w:fill="FFFFFF"/>
              <w:ind w:left="14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Голова Робочої Групи Олеся Залуська повідомила членів робочої групи, що 4-7 вересня відбулись Другі національні консультації з розробки секторальних та крос-секторальних експортних стратегій у яких взяли участь близько 600 учасників. На 6-14 листопада запл</w:t>
            </w:r>
            <w:r>
              <w:rPr>
                <w:rFonts w:ascii="Times New Roman" w:eastAsia="Times New Roman" w:hAnsi="Times New Roman" w:cs="Times New Roman"/>
                <w:sz w:val="24"/>
                <w:szCs w:val="24"/>
                <w:shd w:val="clear" w:color="auto" w:fill="FEFEFE"/>
              </w:rPr>
              <w:t xml:space="preserve">ановано проведення </w:t>
            </w:r>
            <w:r>
              <w:rPr>
                <w:rFonts w:ascii="Times New Roman" w:eastAsia="Times New Roman" w:hAnsi="Times New Roman" w:cs="Times New Roman"/>
                <w:sz w:val="24"/>
                <w:szCs w:val="24"/>
                <w:shd w:val="clear" w:color="auto" w:fill="FEFEFE"/>
              </w:rPr>
              <w:t>Третіх</w:t>
            </w:r>
            <w:r>
              <w:rPr>
                <w:rFonts w:ascii="Times New Roman" w:eastAsia="Times New Roman" w:hAnsi="Times New Roman" w:cs="Times New Roman"/>
                <w:sz w:val="24"/>
                <w:szCs w:val="24"/>
                <w:shd w:val="clear" w:color="auto" w:fill="FEFEFE"/>
              </w:rPr>
              <w:t xml:space="preserve"> </w:t>
            </w:r>
            <w:r>
              <w:rPr>
                <w:rFonts w:ascii="Times New Roman" w:eastAsia="Times New Roman" w:hAnsi="Times New Roman" w:cs="Times New Roman"/>
                <w:sz w:val="24"/>
                <w:szCs w:val="24"/>
                <w:shd w:val="clear" w:color="auto" w:fill="FEFEFE"/>
              </w:rPr>
              <w:t>н</w:t>
            </w:r>
            <w:r>
              <w:rPr>
                <w:rFonts w:ascii="Times New Roman" w:eastAsia="Times New Roman" w:hAnsi="Times New Roman" w:cs="Times New Roman"/>
                <w:sz w:val="24"/>
                <w:szCs w:val="24"/>
                <w:shd w:val="clear" w:color="auto" w:fill="FEFEFE"/>
              </w:rPr>
              <w:t>аціональних консультацій для верифікації та підготовки плану дій. Команда з підтримки Експортної стратегії України разом з партнерами Міжнародний торг</w:t>
            </w:r>
            <w:r>
              <w:rPr>
                <w:rFonts w:ascii="Times New Roman" w:eastAsia="Times New Roman" w:hAnsi="Times New Roman" w:cs="Times New Roman"/>
                <w:sz w:val="24"/>
                <w:szCs w:val="24"/>
                <w:shd w:val="clear" w:color="auto" w:fill="FEFEFE"/>
              </w:rPr>
              <w:t>о</w:t>
            </w:r>
            <w:r>
              <w:rPr>
                <w:rFonts w:ascii="Times New Roman" w:eastAsia="Times New Roman" w:hAnsi="Times New Roman" w:cs="Times New Roman"/>
                <w:sz w:val="24"/>
                <w:szCs w:val="24"/>
                <w:shd w:val="clear" w:color="auto" w:fill="FEFEFE"/>
              </w:rPr>
              <w:t xml:space="preserve">вельний центр (International Trade Center) розпочали підготовку до проведення </w:t>
            </w:r>
            <w:r>
              <w:rPr>
                <w:rFonts w:ascii="Times New Roman" w:eastAsia="Times New Roman" w:hAnsi="Times New Roman" w:cs="Times New Roman"/>
                <w:sz w:val="24"/>
                <w:szCs w:val="24"/>
                <w:shd w:val="clear" w:color="auto" w:fill="FEFEFE"/>
              </w:rPr>
              <w:t>Третіх н</w:t>
            </w:r>
            <w:r>
              <w:rPr>
                <w:rFonts w:ascii="Times New Roman" w:eastAsia="Times New Roman" w:hAnsi="Times New Roman" w:cs="Times New Roman"/>
                <w:sz w:val="24"/>
                <w:szCs w:val="24"/>
                <w:shd w:val="clear" w:color="auto" w:fill="FEFEFE"/>
              </w:rPr>
              <w:t>аціональних консультацій.</w:t>
            </w:r>
          </w:p>
          <w:p w:rsidR="00E93C41" w:rsidRDefault="00CC714A">
            <w:pPr>
              <w:pBdr>
                <w:top w:val="nil"/>
                <w:left w:val="nil"/>
                <w:bottom w:val="nil"/>
                <w:right w:val="nil"/>
                <w:between w:val="nil"/>
              </w:pBdr>
              <w:shd w:val="clear" w:color="auto" w:fill="FFFFFF"/>
              <w:ind w:left="14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rPr>
              <w:t xml:space="preserve">Учасники засідання домовились, що після закінчення роботи над стратегіями </w:t>
            </w:r>
            <w:r>
              <w:rPr>
                <w:rFonts w:ascii="Times New Roman" w:eastAsia="Times New Roman" w:hAnsi="Times New Roman" w:cs="Times New Roman"/>
                <w:sz w:val="24"/>
                <w:szCs w:val="24"/>
                <w:shd w:val="clear" w:color="auto" w:fill="FEFEFE"/>
              </w:rPr>
              <w:t>Міжнародного торг</w:t>
            </w:r>
            <w:r>
              <w:rPr>
                <w:rFonts w:ascii="Times New Roman" w:eastAsia="Times New Roman" w:hAnsi="Times New Roman" w:cs="Times New Roman"/>
                <w:sz w:val="24"/>
                <w:szCs w:val="24"/>
                <w:shd w:val="clear" w:color="auto" w:fill="FEFEFE"/>
              </w:rPr>
              <w:t>о</w:t>
            </w:r>
            <w:r>
              <w:rPr>
                <w:rFonts w:ascii="Times New Roman" w:eastAsia="Times New Roman" w:hAnsi="Times New Roman" w:cs="Times New Roman"/>
                <w:sz w:val="24"/>
                <w:szCs w:val="24"/>
                <w:shd w:val="clear" w:color="auto" w:fill="FEFEFE"/>
              </w:rPr>
              <w:t>вельного центру (International Trade Center), вони будуть перекладені на українську мову та надіслані в регіони, а також на предст</w:t>
            </w:r>
            <w:r>
              <w:rPr>
                <w:rFonts w:ascii="Times New Roman" w:eastAsia="Times New Roman" w:hAnsi="Times New Roman" w:cs="Times New Roman"/>
                <w:sz w:val="24"/>
                <w:szCs w:val="24"/>
                <w:shd w:val="clear" w:color="auto" w:fill="FEFEFE"/>
              </w:rPr>
              <w:t>авників індустрій для отримання додаткових коментарів та пропозицій.</w:t>
            </w:r>
          </w:p>
          <w:p w:rsidR="00E93C41" w:rsidRDefault="00CC714A">
            <w:pPr>
              <w:numPr>
                <w:ilvl w:val="0"/>
                <w:numId w:val="2"/>
              </w:numPr>
              <w:pBdr>
                <w:top w:val="nil"/>
                <w:left w:val="nil"/>
                <w:bottom w:val="nil"/>
                <w:right w:val="nil"/>
                <w:between w:val="nil"/>
              </w:pBdr>
              <w:shd w:val="clear" w:color="auto" w:fill="FFFFFF"/>
              <w:ind w:left="141"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FEFEFE"/>
              </w:rPr>
              <w:t xml:space="preserve">Презентація розробки </w:t>
            </w:r>
            <w:r>
              <w:rPr>
                <w:rFonts w:ascii="Times New Roman" w:eastAsia="Times New Roman" w:hAnsi="Times New Roman" w:cs="Times New Roman"/>
                <w:b/>
                <w:sz w:val="24"/>
                <w:szCs w:val="24"/>
                <w:shd w:val="clear" w:color="auto" w:fill="FEFEFE"/>
              </w:rPr>
              <w:t>Е</w:t>
            </w:r>
            <w:r>
              <w:rPr>
                <w:rFonts w:ascii="Times New Roman" w:eastAsia="Times New Roman" w:hAnsi="Times New Roman" w:cs="Times New Roman"/>
                <w:b/>
                <w:sz w:val="24"/>
                <w:szCs w:val="24"/>
                <w:shd w:val="clear" w:color="auto" w:fill="FEFEFE"/>
              </w:rPr>
              <w:t>кспортної стратегії для ІТ сектору.</w:t>
            </w:r>
          </w:p>
          <w:p w:rsidR="00E93C41" w:rsidRDefault="00CC714A">
            <w:pPr>
              <w:shd w:val="clear" w:color="auto" w:fill="FFFFFF"/>
              <w:ind w:left="14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rPr>
              <w:t xml:space="preserve">Представлення статусу розробки Експортної стратегії для ІТ сектору відбулося за участі національного координатора </w:t>
            </w:r>
            <w:r>
              <w:rPr>
                <w:rFonts w:ascii="Times New Roman" w:eastAsia="Times New Roman" w:hAnsi="Times New Roman" w:cs="Times New Roman"/>
                <w:sz w:val="24"/>
                <w:szCs w:val="24"/>
                <w:shd w:val="clear" w:color="auto" w:fill="FEFEFE"/>
              </w:rPr>
              <w:t>Міжнародного то</w:t>
            </w:r>
            <w:r>
              <w:rPr>
                <w:rFonts w:ascii="Times New Roman" w:eastAsia="Times New Roman" w:hAnsi="Times New Roman" w:cs="Times New Roman"/>
                <w:sz w:val="24"/>
                <w:szCs w:val="24"/>
                <w:shd w:val="clear" w:color="auto" w:fill="FEFEFE"/>
              </w:rPr>
              <w:t>рговельного центру (International Trade Center) Наталі Вєрємєєвої, яка повідомила, що станом на дату засідання робочої групи стратегія готова на 80%, а план заходів на 60%. Також повідомила, що в рамках проекту до роботи над стратегією був залучений додатк</w:t>
            </w:r>
            <w:r>
              <w:rPr>
                <w:rFonts w:ascii="Times New Roman" w:eastAsia="Times New Roman" w:hAnsi="Times New Roman" w:cs="Times New Roman"/>
                <w:sz w:val="24"/>
                <w:szCs w:val="24"/>
                <w:shd w:val="clear" w:color="auto" w:fill="FEFEFE"/>
              </w:rPr>
              <w:t>овий експерт Рубен Ньювенхауз (керівник StartupAmsterdam), візит якого відбувався у Київ 8-9 жовтня та було проведено 5 різних зустрічей з членами робочої групи по стратегії та учасниками екосистеми. Рекомендації даного експерта будуть додатково обговорені</w:t>
            </w:r>
            <w:r>
              <w:rPr>
                <w:rFonts w:ascii="Times New Roman" w:eastAsia="Times New Roman" w:hAnsi="Times New Roman" w:cs="Times New Roman"/>
                <w:sz w:val="24"/>
                <w:szCs w:val="24"/>
                <w:shd w:val="clear" w:color="auto" w:fill="FEFEFE"/>
              </w:rPr>
              <w:t xml:space="preserve"> з ІТС та включені до стратегії.</w:t>
            </w:r>
          </w:p>
          <w:p w:rsidR="00E93C41" w:rsidRDefault="00CC714A">
            <w:pPr>
              <w:shd w:val="clear" w:color="auto" w:fill="FFFFFF"/>
              <w:ind w:left="14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Також, за словами Наталії Вєрємєєвої необхідно створити робочу групу щодо подальшої роботи над стратегією і вона готова за підсумками проведених Других національних консультацій запропонувати кандидатури у робочу групу з ро</w:t>
            </w:r>
            <w:r>
              <w:rPr>
                <w:rFonts w:ascii="Times New Roman" w:eastAsia="Times New Roman" w:hAnsi="Times New Roman" w:cs="Times New Roman"/>
                <w:sz w:val="24"/>
                <w:szCs w:val="24"/>
                <w:shd w:val="clear" w:color="auto" w:fill="FEFEFE"/>
              </w:rPr>
              <w:t>зробки даної стратегії.</w:t>
            </w:r>
          </w:p>
          <w:p w:rsidR="00E93C41" w:rsidRDefault="00CC714A">
            <w:pPr>
              <w:pBdr>
                <w:top w:val="nil"/>
                <w:left w:val="nil"/>
                <w:bottom w:val="nil"/>
                <w:right w:val="nil"/>
                <w:between w:val="nil"/>
              </w:pBdr>
              <w:shd w:val="clear" w:color="auto" w:fill="FFFFFF"/>
              <w:ind w:left="14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rPr>
              <w:t>Учасники засідання домовились залучити додатково до робочих груп всіх стратегій представників профільних департаментів Міністерства економічного розвитку і торгівлі України.</w:t>
            </w:r>
          </w:p>
          <w:p w:rsidR="00E93C41" w:rsidRDefault="00CC714A">
            <w:pPr>
              <w:numPr>
                <w:ilvl w:val="0"/>
                <w:numId w:val="2"/>
              </w:numPr>
              <w:pBdr>
                <w:top w:val="nil"/>
                <w:left w:val="nil"/>
                <w:bottom w:val="nil"/>
                <w:right w:val="nil"/>
                <w:between w:val="nil"/>
              </w:pBdr>
              <w:shd w:val="clear" w:color="auto" w:fill="FFFFFF"/>
              <w:ind w:left="141"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FEFEFE"/>
              </w:rPr>
              <w:t xml:space="preserve">Презентація розробки </w:t>
            </w:r>
            <w:r>
              <w:rPr>
                <w:rFonts w:ascii="Times New Roman" w:eastAsia="Times New Roman" w:hAnsi="Times New Roman" w:cs="Times New Roman"/>
                <w:b/>
                <w:sz w:val="24"/>
                <w:szCs w:val="24"/>
                <w:shd w:val="clear" w:color="auto" w:fill="FEFEFE"/>
              </w:rPr>
              <w:t>Е</w:t>
            </w:r>
            <w:r>
              <w:rPr>
                <w:rFonts w:ascii="Times New Roman" w:eastAsia="Times New Roman" w:hAnsi="Times New Roman" w:cs="Times New Roman"/>
                <w:b/>
                <w:sz w:val="24"/>
                <w:szCs w:val="24"/>
                <w:shd w:val="clear" w:color="auto" w:fill="FEFEFE"/>
              </w:rPr>
              <w:t>кспортної стратегії для сектору технічного обслуговування та ремонту повітряних суден.</w:t>
            </w:r>
          </w:p>
          <w:p w:rsidR="00E93C41" w:rsidRDefault="00CC714A">
            <w:pPr>
              <w:pBdr>
                <w:top w:val="nil"/>
                <w:left w:val="nil"/>
                <w:bottom w:val="nil"/>
                <w:right w:val="nil"/>
                <w:between w:val="nil"/>
              </w:pBdr>
              <w:shd w:val="clear" w:color="auto" w:fill="FFFFFF"/>
              <w:ind w:left="141" w:right="-9"/>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rPr>
              <w:t xml:space="preserve">Представлення статусу розробки </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кспортної стратегії </w:t>
            </w:r>
            <w:r>
              <w:rPr>
                <w:rFonts w:ascii="Times New Roman" w:eastAsia="Times New Roman" w:hAnsi="Times New Roman" w:cs="Times New Roman"/>
                <w:sz w:val="24"/>
                <w:szCs w:val="24"/>
              </w:rPr>
              <w:t>для сектору</w:t>
            </w:r>
            <w:r>
              <w:rPr>
                <w:rFonts w:ascii="Times New Roman" w:eastAsia="Times New Roman" w:hAnsi="Times New Roman" w:cs="Times New Roman"/>
                <w:sz w:val="24"/>
                <w:szCs w:val="24"/>
                <w:shd w:val="clear" w:color="auto" w:fill="FEFEFE"/>
              </w:rPr>
              <w:t xml:space="preserve"> технічного обслуговування та ремонту повітряних суден</w:t>
            </w:r>
            <w:r>
              <w:rPr>
                <w:rFonts w:ascii="Times New Roman" w:eastAsia="Times New Roman" w:hAnsi="Times New Roman" w:cs="Times New Roman"/>
                <w:sz w:val="24"/>
                <w:szCs w:val="24"/>
              </w:rPr>
              <w:t xml:space="preserve"> відбувався з участі національного координатора </w:t>
            </w:r>
            <w:r>
              <w:rPr>
                <w:rFonts w:ascii="Times New Roman" w:eastAsia="Times New Roman" w:hAnsi="Times New Roman" w:cs="Times New Roman"/>
                <w:sz w:val="24"/>
                <w:szCs w:val="24"/>
                <w:shd w:val="clear" w:color="auto" w:fill="FEFEFE"/>
              </w:rPr>
              <w:t>Міжнародного торг</w:t>
            </w:r>
            <w:r>
              <w:rPr>
                <w:rFonts w:ascii="Times New Roman" w:eastAsia="Times New Roman" w:hAnsi="Times New Roman" w:cs="Times New Roman"/>
                <w:sz w:val="24"/>
                <w:szCs w:val="24"/>
                <w:shd w:val="clear" w:color="auto" w:fill="FEFEFE"/>
              </w:rPr>
              <w:t>о</w:t>
            </w:r>
            <w:r>
              <w:rPr>
                <w:rFonts w:ascii="Times New Roman" w:eastAsia="Times New Roman" w:hAnsi="Times New Roman" w:cs="Times New Roman"/>
                <w:sz w:val="24"/>
                <w:szCs w:val="24"/>
                <w:shd w:val="clear" w:color="auto" w:fill="FEFEFE"/>
              </w:rPr>
              <w:t>вельного центру (International Trade Center) Сергія Коржа, який повідомив, що даний сектор не розвинений в Україні, але у нього є великі перспективи, оскільки в найближчі 10 років даний сектор у світі виросте на 50%. Великими гравцями у д</w:t>
            </w:r>
            <w:r>
              <w:rPr>
                <w:rFonts w:ascii="Times New Roman" w:eastAsia="Times New Roman" w:hAnsi="Times New Roman" w:cs="Times New Roman"/>
                <w:sz w:val="24"/>
                <w:szCs w:val="24"/>
                <w:shd w:val="clear" w:color="auto" w:fill="FEFEFE"/>
              </w:rPr>
              <w:t>аному секторі є США та Велик</w:t>
            </w:r>
            <w:r>
              <w:rPr>
                <w:rFonts w:ascii="Times New Roman" w:eastAsia="Times New Roman" w:hAnsi="Times New Roman" w:cs="Times New Roman"/>
                <w:sz w:val="24"/>
                <w:szCs w:val="24"/>
                <w:shd w:val="clear" w:color="auto" w:fill="FEFEFE"/>
              </w:rPr>
              <w:t>а Б</w:t>
            </w:r>
            <w:r>
              <w:rPr>
                <w:rFonts w:ascii="Times New Roman" w:eastAsia="Times New Roman" w:hAnsi="Times New Roman" w:cs="Times New Roman"/>
                <w:sz w:val="24"/>
                <w:szCs w:val="24"/>
                <w:shd w:val="clear" w:color="auto" w:fill="FEFEFE"/>
              </w:rPr>
              <w:t>ританія. Дана стратегія також враховує конкурентів України, а також аналізує питання розвитку сектору в Україні та світі. Станом на сьогодні технічне обслуговування та ремонт повітряних суден меншого класу може здійснювати бл</w:t>
            </w:r>
            <w:r>
              <w:rPr>
                <w:rFonts w:ascii="Times New Roman" w:eastAsia="Times New Roman" w:hAnsi="Times New Roman" w:cs="Times New Roman"/>
                <w:sz w:val="24"/>
                <w:szCs w:val="24"/>
                <w:shd w:val="clear" w:color="auto" w:fill="FEFEFE"/>
              </w:rPr>
              <w:t>изько 20 країн, більшого класу близько 10 країн. Україна має</w:t>
            </w:r>
            <w:r>
              <w:rPr>
                <w:rFonts w:ascii="Times New Roman" w:eastAsia="Times New Roman" w:hAnsi="Times New Roman" w:cs="Times New Roman"/>
                <w:sz w:val="24"/>
                <w:szCs w:val="24"/>
                <w:shd w:val="clear" w:color="auto" w:fill="FEFEFE"/>
              </w:rPr>
              <w:t xml:space="preserve"> </w:t>
            </w:r>
            <w:r>
              <w:rPr>
                <w:rFonts w:ascii="Times New Roman" w:eastAsia="Times New Roman" w:hAnsi="Times New Roman" w:cs="Times New Roman"/>
                <w:sz w:val="24"/>
                <w:szCs w:val="24"/>
                <w:shd w:val="clear" w:color="auto" w:fill="FEFEFE"/>
              </w:rPr>
              <w:t>великі переваги для розвитку експорту даного сектору, які будуть враховані у стратегії. Також, на даний час очікується відповідь від Укрінмаш та Мотор Січ щодо аналізу ринку.</w:t>
            </w:r>
          </w:p>
          <w:p w:rsidR="00E93C41" w:rsidRDefault="00CC714A">
            <w:pPr>
              <w:shd w:val="clear" w:color="auto" w:fill="FFFFFF"/>
              <w:ind w:left="14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Крім цього, Сергій К</w:t>
            </w:r>
            <w:r>
              <w:rPr>
                <w:rFonts w:ascii="Times New Roman" w:eastAsia="Times New Roman" w:hAnsi="Times New Roman" w:cs="Times New Roman"/>
                <w:sz w:val="24"/>
                <w:szCs w:val="24"/>
                <w:shd w:val="clear" w:color="auto" w:fill="FEFEFE"/>
              </w:rPr>
              <w:t xml:space="preserve">орж наголосив на тому, що необхідно створити робочу групу щодо подальшої роботи над даною стратегією, що є можливими шляхом створення окремої робочої </w:t>
            </w:r>
            <w:r>
              <w:rPr>
                <w:rFonts w:ascii="Times New Roman" w:eastAsia="Times New Roman" w:hAnsi="Times New Roman" w:cs="Times New Roman"/>
                <w:sz w:val="24"/>
                <w:szCs w:val="24"/>
                <w:shd w:val="clear" w:color="auto" w:fill="FEFEFE"/>
              </w:rPr>
              <w:lastRenderedPageBreak/>
              <w:t xml:space="preserve">групи за підсумками проведених національних консультацій, або опрацювання даної стратегії робочою групою </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 формування стратегій розвитку міжнародної торгівлі та аналізу їх реалізації Ради з міжнародної торгівлі.</w:t>
            </w:r>
          </w:p>
          <w:p w:rsidR="00E93C41" w:rsidRDefault="00CC714A">
            <w:pPr>
              <w:shd w:val="clear" w:color="auto" w:fill="FFFFFF"/>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Учасники засідання за пропозицією Олександра Черниха (Директора департаменту промислової політики) домовились про необхідність організації зустрічі з </w:t>
            </w:r>
            <w:r>
              <w:rPr>
                <w:rFonts w:ascii="Times New Roman" w:eastAsia="Times New Roman" w:hAnsi="Times New Roman" w:cs="Times New Roman"/>
                <w:sz w:val="24"/>
                <w:szCs w:val="24"/>
              </w:rPr>
              <w:t>заступником міністра – Бровченко Юрієм Степановичем з метою інформування про розробку стратегії та питань, які необхідно вирішити для її кращої якості та наповнення інформації. Також було обговорено питання можливої підготовки необхідного доручення міністр</w:t>
            </w:r>
            <w:r>
              <w:rPr>
                <w:rFonts w:ascii="Times New Roman" w:eastAsia="Times New Roman" w:hAnsi="Times New Roman" w:cs="Times New Roman"/>
                <w:sz w:val="24"/>
                <w:szCs w:val="24"/>
              </w:rPr>
              <w:t>а до Державної служби експортного контролю з метою необхідності отримання інформації на поданий запит про отримання інформації.</w:t>
            </w:r>
          </w:p>
        </w:tc>
        <w:tc>
          <w:tcPr>
            <w:tcW w:w="434" w:type="dxa"/>
          </w:tcPr>
          <w:p w:rsidR="00E93C41" w:rsidRDefault="00E93C41">
            <w:pPr>
              <w:pBdr>
                <w:top w:val="nil"/>
                <w:left w:val="nil"/>
                <w:bottom w:val="nil"/>
                <w:right w:val="nil"/>
                <w:between w:val="nil"/>
              </w:pBdr>
              <w:spacing w:after="0" w:line="240" w:lineRule="auto"/>
              <w:ind w:left="141"/>
              <w:jc w:val="both"/>
              <w:rPr>
                <w:rFonts w:ascii="Times New Roman" w:eastAsia="Times New Roman" w:hAnsi="Times New Roman" w:cs="Times New Roman"/>
                <w:b/>
                <w:sz w:val="24"/>
                <w:szCs w:val="24"/>
                <w:shd w:val="clear" w:color="auto" w:fill="FEFEFE"/>
              </w:rPr>
            </w:pPr>
          </w:p>
        </w:tc>
      </w:tr>
      <w:tr w:rsidR="00FD7D8C" w:rsidTr="00FD7D8C">
        <w:trPr>
          <w:trHeight w:val="1820"/>
        </w:trPr>
        <w:tc>
          <w:tcPr>
            <w:tcW w:w="10206" w:type="dxa"/>
          </w:tcPr>
          <w:p w:rsidR="00E93C41" w:rsidRDefault="00CC714A">
            <w:pPr>
              <w:spacing w:after="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Різне.</w:t>
            </w:r>
          </w:p>
          <w:p w:rsidR="00E93C41" w:rsidRDefault="00E93C41">
            <w:pPr>
              <w:spacing w:after="0" w:line="240" w:lineRule="auto"/>
              <w:ind w:left="141"/>
              <w:rPr>
                <w:rFonts w:ascii="Times New Roman" w:eastAsia="Times New Roman" w:hAnsi="Times New Roman" w:cs="Times New Roman"/>
                <w:b/>
                <w:sz w:val="24"/>
                <w:szCs w:val="24"/>
              </w:rPr>
            </w:pPr>
          </w:p>
          <w:p w:rsidR="00E93C41" w:rsidRDefault="00CC714A">
            <w:pPr>
              <w:spacing w:after="0" w:line="240" w:lineRule="auto"/>
              <w:ind w:left="14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rPr>
              <w:t xml:space="preserve">Олеся Залуська підняла питання щодо необхідності проведення наступного засідання робочої групи через два тижні для обговорення наступних стратегій, які розробляються за ініціативи Міністерства економічного розвитку і торгівлі у співпраці з </w:t>
            </w:r>
            <w:r>
              <w:rPr>
                <w:rFonts w:ascii="Times New Roman" w:eastAsia="Times New Roman" w:hAnsi="Times New Roman" w:cs="Times New Roman"/>
                <w:sz w:val="24"/>
                <w:szCs w:val="24"/>
                <w:shd w:val="clear" w:color="auto" w:fill="FEFEFE"/>
              </w:rPr>
              <w:t>Міжнародним торг</w:t>
            </w:r>
            <w:r>
              <w:rPr>
                <w:rFonts w:ascii="Times New Roman" w:eastAsia="Times New Roman" w:hAnsi="Times New Roman" w:cs="Times New Roman"/>
                <w:sz w:val="24"/>
                <w:szCs w:val="24"/>
                <w:shd w:val="clear" w:color="auto" w:fill="FEFEFE"/>
              </w:rPr>
              <w:t xml:space="preserve">овельним центром (International Trade Center). </w:t>
            </w:r>
          </w:p>
          <w:p w:rsidR="00E93C41" w:rsidRDefault="00E93C41">
            <w:pPr>
              <w:spacing w:after="0" w:line="240" w:lineRule="auto"/>
              <w:ind w:left="141"/>
              <w:jc w:val="both"/>
              <w:rPr>
                <w:rFonts w:ascii="Times New Roman" w:eastAsia="Times New Roman" w:hAnsi="Times New Roman" w:cs="Times New Roman"/>
                <w:sz w:val="24"/>
                <w:szCs w:val="24"/>
                <w:shd w:val="clear" w:color="auto" w:fill="FEFEFE"/>
              </w:rPr>
            </w:pPr>
          </w:p>
          <w:p w:rsidR="00E93C41" w:rsidRDefault="00CC714A">
            <w:pPr>
              <w:spacing w:after="0" w:line="240" w:lineRule="auto"/>
              <w:ind w:left="14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Про проведення засідання робочої групи буде учасникам додатково повідомлено.</w:t>
            </w:r>
          </w:p>
          <w:p w:rsidR="00E93C41" w:rsidRDefault="00E93C41">
            <w:pPr>
              <w:spacing w:after="0" w:line="240" w:lineRule="auto"/>
              <w:ind w:left="141"/>
              <w:rPr>
                <w:rFonts w:ascii="Times New Roman" w:eastAsia="Times New Roman" w:hAnsi="Times New Roman" w:cs="Times New Roman"/>
                <w:b/>
                <w:sz w:val="24"/>
                <w:szCs w:val="24"/>
              </w:rPr>
            </w:pPr>
          </w:p>
          <w:p w:rsidR="00E93C41" w:rsidRDefault="00E93C41">
            <w:pPr>
              <w:spacing w:after="0" w:line="240" w:lineRule="auto"/>
              <w:ind w:left="141"/>
              <w:jc w:val="both"/>
              <w:rPr>
                <w:rFonts w:ascii="Times New Roman" w:eastAsia="Times New Roman" w:hAnsi="Times New Roman" w:cs="Times New Roman"/>
                <w:b/>
                <w:sz w:val="24"/>
                <w:szCs w:val="24"/>
              </w:rPr>
            </w:pPr>
          </w:p>
          <w:p w:rsidR="00E93C41" w:rsidRDefault="00CC714A">
            <w:pPr>
              <w:spacing w:after="0"/>
              <w:ind w:lef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Керівник Робочої групи з формування стратегій</w:t>
            </w:r>
          </w:p>
          <w:p w:rsidR="00E93C41" w:rsidRDefault="00CC714A">
            <w:pPr>
              <w:spacing w:after="0"/>
              <w:ind w:lef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розвитку міжнародної торгівлі та аналізу їх реалізації</w:t>
            </w:r>
          </w:p>
          <w:p w:rsidR="00E93C41" w:rsidRDefault="00CC714A">
            <w:pPr>
              <w:spacing w:after="0"/>
              <w:ind w:lef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Ради з міжнародної торгівлі</w:t>
            </w:r>
          </w:p>
          <w:p w:rsidR="00E93C41" w:rsidRDefault="00E93C41">
            <w:pPr>
              <w:spacing w:after="0"/>
              <w:ind w:left="141"/>
              <w:jc w:val="both"/>
              <w:rPr>
                <w:rFonts w:ascii="Times New Roman" w:eastAsia="Times New Roman" w:hAnsi="Times New Roman" w:cs="Times New Roman"/>
                <w:b/>
                <w:sz w:val="24"/>
                <w:szCs w:val="24"/>
              </w:rPr>
            </w:pPr>
          </w:p>
          <w:p w:rsidR="00E93C41" w:rsidRDefault="00CC714A">
            <w:pPr>
              <w:spacing w:after="0"/>
              <w:ind w:lef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Олеся Залуська</w:t>
            </w:r>
          </w:p>
          <w:p w:rsidR="00E93C41" w:rsidRDefault="00E93C41">
            <w:pPr>
              <w:spacing w:after="0" w:line="240" w:lineRule="auto"/>
              <w:ind w:left="141"/>
              <w:jc w:val="both"/>
              <w:rPr>
                <w:rFonts w:ascii="Times New Roman" w:eastAsia="Times New Roman" w:hAnsi="Times New Roman" w:cs="Times New Roman"/>
                <w:b/>
                <w:sz w:val="24"/>
                <w:szCs w:val="24"/>
              </w:rPr>
            </w:pPr>
          </w:p>
          <w:p w:rsidR="00E93C41" w:rsidRDefault="00CC714A">
            <w:pPr>
              <w:spacing w:after="0" w:line="240" w:lineRule="auto"/>
              <w:ind w:lef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tc>
        <w:tc>
          <w:tcPr>
            <w:tcW w:w="434" w:type="dxa"/>
          </w:tcPr>
          <w:p w:rsidR="00E93C41" w:rsidRDefault="00E93C41">
            <w:pPr>
              <w:spacing w:after="0" w:line="240" w:lineRule="auto"/>
              <w:ind w:left="141"/>
              <w:rPr>
                <w:rFonts w:ascii="Times New Roman" w:eastAsia="Times New Roman" w:hAnsi="Times New Roman" w:cs="Times New Roman"/>
                <w:b/>
                <w:sz w:val="24"/>
                <w:szCs w:val="24"/>
              </w:rPr>
            </w:pPr>
          </w:p>
        </w:tc>
      </w:tr>
    </w:tbl>
    <w:p w:rsidR="00E93C41" w:rsidRDefault="00E93C41">
      <w:pPr>
        <w:tabs>
          <w:tab w:val="left" w:pos="5040"/>
        </w:tabs>
        <w:rPr>
          <w:rFonts w:ascii="Times New Roman" w:eastAsia="Times New Roman" w:hAnsi="Times New Roman" w:cs="Times New Roman"/>
          <w:b/>
          <w:sz w:val="24"/>
          <w:szCs w:val="24"/>
        </w:rPr>
      </w:pPr>
    </w:p>
    <w:sectPr w:rsidR="00E93C41">
      <w:footerReference w:type="default" r:id="rId7"/>
      <w:pgSz w:w="11906" w:h="16838"/>
      <w:pgMar w:top="850" w:right="1417" w:bottom="850" w:left="8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14A" w:rsidRDefault="00CC714A">
      <w:pPr>
        <w:spacing w:after="0" w:line="240" w:lineRule="auto"/>
      </w:pPr>
      <w:r>
        <w:separator/>
      </w:r>
    </w:p>
  </w:endnote>
  <w:endnote w:type="continuationSeparator" w:id="0">
    <w:p w:rsidR="00CC714A" w:rsidRDefault="00CC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1" w:rsidRDefault="00CC714A">
    <w:pPr>
      <w:jc w:val="right"/>
    </w:pPr>
    <w:r>
      <w:fldChar w:fldCharType="begin"/>
    </w:r>
    <w:r>
      <w:instrText>PAGE</w:instrText>
    </w:r>
    <w:r w:rsidR="00FD7D8C">
      <w:fldChar w:fldCharType="separate"/>
    </w:r>
    <w:r w:rsidR="00FD7D8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14A" w:rsidRDefault="00CC714A">
      <w:pPr>
        <w:spacing w:after="0" w:line="240" w:lineRule="auto"/>
      </w:pPr>
      <w:r>
        <w:separator/>
      </w:r>
    </w:p>
  </w:footnote>
  <w:footnote w:type="continuationSeparator" w:id="0">
    <w:p w:rsidR="00CC714A" w:rsidRDefault="00CC7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2373B"/>
    <w:multiLevelType w:val="multilevel"/>
    <w:tmpl w:val="138A0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C5798C"/>
    <w:multiLevelType w:val="multilevel"/>
    <w:tmpl w:val="A11671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41"/>
    <w:rsid w:val="00CC714A"/>
    <w:rsid w:val="00E93C41"/>
    <w:rsid w:val="00FD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4662386"/>
  <w15:docId w15:val="{88CBA946-1B4B-784C-823C-A988A18C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spacing w:before="100" w:after="100" w:line="240" w:lineRule="auto"/>
      <w:outlineLvl w:val="1"/>
    </w:pPr>
    <w:rPr>
      <w:rFonts w:ascii="Times New Roman" w:eastAsia="Times New Roman" w:hAnsi="Times New Roman" w:cs="Times New Roman"/>
      <w:b/>
      <w:sz w:val="36"/>
      <w:szCs w:val="36"/>
    </w:rPr>
  </w:style>
  <w:style w:type="paragraph" w:styleId="3">
    <w:name w:val="heading 3"/>
    <w:basedOn w:val="a"/>
    <w:next w:val="a"/>
    <w:uiPriority w:val="9"/>
    <w:semiHidden/>
    <w:unhideWhenUsed/>
    <w:qFormat/>
    <w:pPr>
      <w:keepNext/>
      <w:keepLines/>
      <w:spacing w:before="200" w:after="0"/>
      <w:outlineLvl w:val="2"/>
    </w:pPr>
    <w:rPr>
      <w:rFonts w:ascii="Cambria" w:eastAsia="Cambria" w:hAnsi="Cambria" w:cs="Cambria"/>
      <w:b/>
      <w:color w:val="4F81BD"/>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Microsoft Office</cp:lastModifiedBy>
  <cp:revision>2</cp:revision>
  <dcterms:created xsi:type="dcterms:W3CDTF">2019-05-17T08:45:00Z</dcterms:created>
  <dcterms:modified xsi:type="dcterms:W3CDTF">2019-05-17T08:48:00Z</dcterms:modified>
</cp:coreProperties>
</file>